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40" w:lineRule="auto"/>
        <w:jc w:val="center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40" w:lineRule="auto"/>
        <w:jc w:val="center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0" w:line="240" w:lineRule="auto"/>
        <w:jc w:val="center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before="0" w:line="240" w:lineRule="auto"/>
        <w:jc w:val="center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UNIVERSIDAD NACIONAL DE ENTRE RÍOS</w:t>
      </w:r>
    </w:p>
    <w:p w:rsidR="00000000" w:rsidDel="00000000" w:rsidP="00000000" w:rsidRDefault="00000000" w:rsidRPr="00000000" w14:paraId="00000005">
      <w:pPr>
        <w:spacing w:after="160" w:before="0" w:line="240" w:lineRule="auto"/>
        <w:jc w:val="center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FACULTAD DE INGENIERÍA  </w:t>
      </w:r>
    </w:p>
    <w:p w:rsidR="00000000" w:rsidDel="00000000" w:rsidP="00000000" w:rsidRDefault="00000000" w:rsidRPr="00000000" w14:paraId="00000006">
      <w:pPr>
        <w:spacing w:after="160" w:before="0" w:line="240" w:lineRule="auto"/>
        <w:jc w:val="center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0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ESPECIALIZACIÓN EN INGENIERÍA CLÍNICA</w:t>
      </w:r>
    </w:p>
    <w:p w:rsidR="00000000" w:rsidDel="00000000" w:rsidP="00000000" w:rsidRDefault="00000000" w:rsidRPr="00000000" w14:paraId="00000008">
      <w:pPr>
        <w:spacing w:after="160" w:before="0" w:line="240" w:lineRule="auto"/>
        <w:jc w:val="center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0" w:line="240" w:lineRule="auto"/>
        <w:jc w:val="center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ANTEPROYECTO DE TRABAJO FINAL INTEGRADOR</w:t>
      </w:r>
    </w:p>
    <w:p w:rsidR="00000000" w:rsidDel="00000000" w:rsidP="00000000" w:rsidRDefault="00000000" w:rsidRPr="00000000" w14:paraId="0000000A">
      <w:pPr>
        <w:spacing w:after="160" w:before="0" w:line="240" w:lineRule="auto"/>
        <w:jc w:val="left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60" w:before="0" w:line="240" w:lineRule="auto"/>
        <w:jc w:val="left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before="0" w:line="48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Nombre del estudiante de la Especialización.</w:t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Nombre del Director propuesto e Institución a la que pertenece. </w:t>
      </w:r>
    </w:p>
    <w:p w:rsidR="00000000" w:rsidDel="00000000" w:rsidP="00000000" w:rsidRDefault="00000000" w:rsidRPr="00000000" w14:paraId="0000000E">
      <w:pPr>
        <w:spacing w:after="160" w:before="0"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El Director debe poseer título de posgrado o formación equivalente. En caso de que el Director no sea docente de la FIUNER, deberá proponerse un Codirector docente de la FIUNER.</w:t>
      </w:r>
    </w:p>
    <w:p w:rsidR="00000000" w:rsidDel="00000000" w:rsidP="00000000" w:rsidRDefault="00000000" w:rsidRPr="00000000" w14:paraId="0000000F">
      <w:pPr>
        <w:spacing w:after="0" w:before="240" w:line="240" w:lineRule="auto"/>
        <w:jc w:val="lef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Título tentativo del trabajo.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Se sugieren las siguientes consideraciones para la escritura del título: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0"/>
        </w:tabs>
        <w:spacing w:line="240" w:lineRule="auto"/>
        <w:ind w:left="720" w:hanging="360"/>
        <w:jc w:val="both"/>
        <w:rPr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Indicar con precisión el tema y el alcance del proyecto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0"/>
        </w:tabs>
        <w:spacing w:line="240" w:lineRule="auto"/>
        <w:ind w:left="720" w:hanging="360"/>
        <w:jc w:val="both"/>
        <w:rPr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Evitar abreviaturas o acrónimos a menos que se conozcan comúnmente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0"/>
        </w:tabs>
        <w:spacing w:line="240" w:lineRule="auto"/>
        <w:ind w:left="720" w:hanging="360"/>
        <w:jc w:val="both"/>
        <w:rPr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Utilizar palabras que creen una impresión positiva y estimulen el interés del lector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0"/>
        </w:tabs>
        <w:spacing w:line="240" w:lineRule="auto"/>
        <w:ind w:left="720" w:hanging="360"/>
        <w:jc w:val="both"/>
        <w:rPr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Dar indicios de la organización del proyecto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0"/>
        </w:tabs>
        <w:spacing w:line="240" w:lineRule="auto"/>
        <w:ind w:left="720" w:hanging="360"/>
        <w:jc w:val="both"/>
        <w:rPr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Utilizar entre 5 y 15 sustantivos</w:t>
      </w:r>
    </w:p>
    <w:p w:rsidR="00000000" w:rsidDel="00000000" w:rsidP="00000000" w:rsidRDefault="00000000" w:rsidRPr="00000000" w14:paraId="00000016">
      <w:pPr>
        <w:spacing w:after="0" w:before="240" w:line="240" w:lineRule="auto"/>
        <w:jc w:val="lef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Breve reseña del estado del arte del tema de trabajo propuesto.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El estado del arte es una descripción general resumida del estado actual del conocimiento sobre un área de estudio. Debe contener una evaluación («crítica») del mismo.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Aquí debe plantear su tema o problema ubicándolo y contextualizándolo, justificando su abordaje y las razones para la selección del mismo. Mencione su importancia y por qué vale la pena estudiarlo\resolverlo.</w:t>
      </w:r>
    </w:p>
    <w:p w:rsidR="00000000" w:rsidDel="00000000" w:rsidP="00000000" w:rsidRDefault="00000000" w:rsidRPr="00000000" w14:paraId="00000019">
      <w:pPr>
        <w:spacing w:after="0" w:before="240" w:line="240" w:lineRule="auto"/>
        <w:jc w:val="lef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Objetivos (generales y específicos).</w:t>
      </w:r>
    </w:p>
    <w:p w:rsidR="00000000" w:rsidDel="00000000" w:rsidP="00000000" w:rsidRDefault="00000000" w:rsidRPr="00000000" w14:paraId="0000001A">
      <w:pPr>
        <w:spacing w:after="20" w:before="0"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Enumere claramente el objetivo general y los objetivos específicos del presente anteproyecto. Tenga en cuenta que los objetivos generales son el fin último del proyecto y los específicos describen más concretamente los resultados más relevantes que aportan a lograr el objetivo general. Se sugiere:</w:t>
      </w:r>
    </w:p>
    <w:p w:rsidR="00000000" w:rsidDel="00000000" w:rsidP="00000000" w:rsidRDefault="00000000" w:rsidRPr="00000000" w14:paraId="0000001B">
      <w:pPr>
        <w:keepNext w:val="1"/>
        <w:numPr>
          <w:ilvl w:val="0"/>
          <w:numId w:val="2"/>
        </w:numPr>
        <w:tabs>
          <w:tab w:val="left" w:leader="none" w:pos="0"/>
        </w:tabs>
        <w:spacing w:after="0" w:before="0" w:line="240" w:lineRule="auto"/>
        <w:ind w:left="360" w:hanging="360"/>
        <w:jc w:val="both"/>
        <w:rPr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Detallar un único objetivo general, y entre dos y cinco objetivos específicos.</w:t>
      </w:r>
    </w:p>
    <w:p w:rsidR="00000000" w:rsidDel="00000000" w:rsidP="00000000" w:rsidRDefault="00000000" w:rsidRPr="00000000" w14:paraId="0000001C">
      <w:pPr>
        <w:keepNext w:val="1"/>
        <w:numPr>
          <w:ilvl w:val="0"/>
          <w:numId w:val="2"/>
        </w:numPr>
        <w:tabs>
          <w:tab w:val="left" w:leader="none" w:pos="0"/>
        </w:tabs>
        <w:spacing w:after="0" w:before="0" w:line="240" w:lineRule="auto"/>
        <w:ind w:left="360" w:hanging="360"/>
        <w:jc w:val="both"/>
        <w:rPr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Orientar los objetivos a la obtención de resultados o consecución de metas, que sean cuantificables en términos operativos.</w:t>
      </w:r>
    </w:p>
    <w:p w:rsidR="00000000" w:rsidDel="00000000" w:rsidP="00000000" w:rsidRDefault="00000000" w:rsidRPr="00000000" w14:paraId="0000001D">
      <w:pPr>
        <w:keepNext w:val="1"/>
        <w:numPr>
          <w:ilvl w:val="0"/>
          <w:numId w:val="2"/>
        </w:numPr>
        <w:tabs>
          <w:tab w:val="left" w:leader="none" w:pos="0"/>
        </w:tabs>
        <w:spacing w:after="160" w:before="0" w:line="240" w:lineRule="auto"/>
        <w:ind w:left="360" w:hanging="360"/>
        <w:jc w:val="both"/>
        <w:rPr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No detallar tareas o actividades como objetivos.</w:t>
      </w:r>
    </w:p>
    <w:p w:rsidR="00000000" w:rsidDel="00000000" w:rsidP="00000000" w:rsidRDefault="00000000" w:rsidRPr="00000000" w14:paraId="0000001E">
      <w:pPr>
        <w:spacing w:after="0" w:before="240" w:line="240" w:lineRule="auto"/>
        <w:jc w:val="lef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Metodología.</w:t>
      </w:r>
    </w:p>
    <w:p w:rsidR="00000000" w:rsidDel="00000000" w:rsidP="00000000" w:rsidRDefault="00000000" w:rsidRPr="00000000" w14:paraId="0000001F">
      <w:pPr>
        <w:spacing w:after="160" w:before="0"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Describa la metodología y estrategias a emplear con el suficiente detalle de modo que permita establecer la factibilidad de los objetivos planteados (</w:t>
      </w:r>
      <w:r w:rsidDel="00000000" w:rsidR="00000000" w:rsidRPr="00000000">
        <w:rPr>
          <w:i w:val="1"/>
          <w:sz w:val="20"/>
          <w:szCs w:val="20"/>
          <w:rtl w:val="0"/>
        </w:rPr>
        <w:t xml:space="preserve">no confundir con el listado de actividades a realizar, que tienen que consignar más adelante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20">
      <w:pPr>
        <w:spacing w:after="16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Lugar donde se llevará adelante el trabajo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indicando la infraestructura requerida y, de ser pertinente, fuente de financiamiento disponible que garantice la factibilidad de la propuesta. ¿Trabaja en la institución, tiene contactos que le permitan acceder a los datos o a las instalaciones de la misma</w:t>
      </w:r>
      <w:r w:rsidDel="00000000" w:rsidR="00000000" w:rsidRPr="00000000">
        <w:rPr>
          <w:i w:val="1"/>
          <w:sz w:val="20"/>
          <w:szCs w:val="20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240" w:line="240" w:lineRule="auto"/>
        <w:jc w:val="lef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Plan y cronograma tentativo de actividades.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Detalle las actividades requeridas para cumplimentar con cada uno de los objetivos propuestos en el anteproyecto.</w:t>
      </w:r>
    </w:p>
    <w:p w:rsidR="00000000" w:rsidDel="00000000" w:rsidP="00000000" w:rsidRDefault="00000000" w:rsidRPr="00000000" w14:paraId="00000023">
      <w:pPr>
        <w:spacing w:after="160" w:before="0"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Incluya un cronograma mensual tipo tabla que muestre aproximadamente cuál será el desarrollo temporal de las actividades descriptas que aportan a conseguir los objetivos particulares propuestos (ver ejemplo abajo).</w:t>
      </w:r>
    </w:p>
    <w:tbl>
      <w:tblPr>
        <w:tblStyle w:val="Table1"/>
        <w:tblW w:w="9016.0" w:type="dxa"/>
        <w:jc w:val="left"/>
        <w:tblInd w:w="-104.0" w:type="dxa"/>
        <w:tblBorders>
          <w:top w:color="000000" w:space="0" w:sz="3" w:val="single"/>
          <w:left w:color="000000" w:space="0" w:sz="3" w:val="single"/>
          <w:bottom w:color="000000" w:space="0" w:sz="3" w:val="single"/>
          <w:right w:color="000000" w:space="0" w:sz="3" w:val="single"/>
          <w:insideH w:color="000000" w:space="0" w:sz="3" w:val="single"/>
          <w:insideV w:color="000000" w:space="0" w:sz="3" w:val="single"/>
        </w:tblBorders>
        <w:tblLayout w:type="fixed"/>
        <w:tblLook w:val="0000"/>
      </w:tblPr>
      <w:tblGrid>
        <w:gridCol w:w="1288"/>
        <w:gridCol w:w="1288"/>
        <w:gridCol w:w="1288"/>
        <w:gridCol w:w="1288"/>
        <w:gridCol w:w="1288"/>
        <w:gridCol w:w="1288"/>
        <w:gridCol w:w="1288"/>
        <w:tblGridChange w:id="0">
          <w:tblGrid>
            <w:gridCol w:w="1288"/>
            <w:gridCol w:w="1288"/>
            <w:gridCol w:w="1288"/>
            <w:gridCol w:w="1288"/>
            <w:gridCol w:w="1288"/>
            <w:gridCol w:w="1288"/>
            <w:gridCol w:w="128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0"/>
                <w:szCs w:val="20"/>
                <w:rtl w:val="0"/>
              </w:rPr>
              <w:t xml:space="preserve">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0"/>
                <w:szCs w:val="20"/>
                <w:rtl w:val="0"/>
              </w:rPr>
              <w:t xml:space="preserve">Mes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0"/>
                <w:szCs w:val="20"/>
                <w:rtl w:val="0"/>
              </w:rPr>
              <w:t xml:space="preserve">Mes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0"/>
                <w:szCs w:val="20"/>
                <w:rtl w:val="0"/>
              </w:rPr>
              <w:t xml:space="preserve">Mes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0"/>
                <w:szCs w:val="20"/>
                <w:rtl w:val="0"/>
              </w:rPr>
              <w:t xml:space="preserve">Mes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0"/>
                <w:szCs w:val="20"/>
                <w:rtl w:val="0"/>
              </w:rPr>
              <w:t xml:space="preserve">Mes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0"/>
                <w:szCs w:val="20"/>
                <w:rtl w:val="0"/>
              </w:rPr>
              <w:t xml:space="preserve">Mes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0"/>
                <w:szCs w:val="20"/>
                <w:rtl w:val="0"/>
              </w:rPr>
              <w:t xml:space="preserve">Actividad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04040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04040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32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0"/>
                <w:szCs w:val="20"/>
                <w:rtl w:val="0"/>
              </w:rPr>
              <w:t xml:space="preserve">Actividad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04040" w:val="clear"/>
          </w:tcPr>
          <w:p w:rsidR="00000000" w:rsidDel="00000000" w:rsidP="00000000" w:rsidRDefault="00000000" w:rsidRPr="00000000" w14:paraId="00000034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04040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04040" w:val="clear"/>
          </w:tcPr>
          <w:p w:rsidR="00000000" w:rsidDel="00000000" w:rsidP="00000000" w:rsidRDefault="00000000" w:rsidRPr="00000000" w14:paraId="00000036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000000"/>
                <w:sz w:val="20"/>
                <w:szCs w:val="20"/>
                <w:rtl w:val="0"/>
              </w:rPr>
              <w:t xml:space="preserve">Actividad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04040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04040" w:val="clear"/>
          </w:tcPr>
          <w:p w:rsidR="00000000" w:rsidDel="00000000" w:rsidP="00000000" w:rsidRDefault="00000000" w:rsidRPr="00000000" w14:paraId="0000003F">
            <w:pPr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before="240" w:line="240" w:lineRule="auto"/>
        <w:jc w:val="lef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Bibliografía.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Utilizar el estilo de cita APA (7ma ed.) para la bibliografía (ver ejemplos abajo). Se sugiere la utilización de software para manejo de bases de datos bibliográficas (p. ej. Mendeley o Zotero)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Libro impreso: Calfee, R. C., &amp; Valencia, R. R. (1991). APA guide to preparing manuscripts for journal publication. American Psychological Association.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Libro electrónico: De Huff, E. W. (n.d.). Taytay’s tales: Traditional Pueblo Indian tales. [Ebook].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1"/>
            <w:color w:val="0000ff"/>
            <w:sz w:val="20"/>
            <w:szCs w:val="20"/>
            <w:u w:val="single"/>
            <w:rtl w:val="0"/>
          </w:rPr>
          <w:t xml:space="preserve">http://digital.library.upenn.edu/women/dehuff/taytay/taytay.html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Artículo de revista impreso: Harlow, H. F. (1983). Fundamentals for preparing psychology journal articles. Journal of Comparative and Physiological Psychology, 55(2), 893-896.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Artículo de revista digital: Brownlie, D. (2007). Toward effective poster presentations: An annotated bibliography. European Journal of Marketing, 41(3), 1245-1283.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1"/>
            <w:color w:val="0000ff"/>
            <w:sz w:val="20"/>
            <w:szCs w:val="20"/>
            <w:u w:val="single"/>
            <w:rtl w:val="0"/>
          </w:rPr>
          <w:t xml:space="preserve">https://doi.org/10.1108/03090560710821161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Periódico: Parker-Pope, T. (2008, May 6). Psychiatry handbook linked to drug industry. The New York Times.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1"/>
            <w:color w:val="0000ff"/>
            <w:sz w:val="20"/>
            <w:szCs w:val="20"/>
            <w:u w:val="single"/>
            <w:rtl w:val="0"/>
          </w:rPr>
          <w:t xml:space="preserve">https://well.blogs.nytimes.com/2008/05/06/psychiatry-handbook-linked-to-drug-industry/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0"/>
          <w:szCs w:val="20"/>
          <w:rtl w:val="0"/>
        </w:rPr>
        <w:t xml:space="preserve">Sitio web: Martin Lillie, C. M. (2016, December 29). Be kind to yourself: How self-compassion can improve your resiliency. Mayo Clinic.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1"/>
            <w:color w:val="0000ff"/>
            <w:sz w:val="20"/>
            <w:szCs w:val="20"/>
            <w:u w:val="single"/>
            <w:rtl w:val="0"/>
          </w:rPr>
          <w:t xml:space="preserve">https://www.mayoclinic.org/healthy-lifestyle/adult-health/in-depth/self-compassion-can-improve-your-resiliency/art-20267193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240" w:line="240" w:lineRule="auto"/>
        <w:jc w:val="lef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Curriculum Vitae del Director y Codirector (si lo tuviere).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4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yoclinic.org/healthy-lifestyle/adult-health/in-depth/self-compassion-can-improve-your-resiliency/art-20267193" TargetMode="External"/><Relationship Id="rId5" Type="http://schemas.openxmlformats.org/officeDocument/2006/relationships/styles" Target="styles.xml"/><Relationship Id="rId6" Type="http://schemas.openxmlformats.org/officeDocument/2006/relationships/hyperlink" Target="http://digital.library.upenn.edu/women/dehuff/taytay/taytay.html" TargetMode="External"/><Relationship Id="rId7" Type="http://schemas.openxmlformats.org/officeDocument/2006/relationships/hyperlink" Target="https://doi.org/10.1108/03090560710821161" TargetMode="External"/><Relationship Id="rId8" Type="http://schemas.openxmlformats.org/officeDocument/2006/relationships/hyperlink" Target="https://well.blogs.nytimes.com/2008/05/06/psychiatry-handbook-linked-to-drug-industr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